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b w:val="1"/>
          <w:color w:val="b7448a"/>
        </w:rPr>
      </w:pPr>
      <w:bookmarkStart w:colFirst="0" w:colLast="0" w:name="_c519dv42rbth" w:id="0"/>
      <w:bookmarkEnd w:id="0"/>
      <w:r w:rsidDel="00000000" w:rsidR="00000000" w:rsidRPr="00000000">
        <w:rPr>
          <w:b w:val="1"/>
          <w:color w:val="b7448a"/>
          <w:rtl w:val="0"/>
        </w:rPr>
        <w:t xml:space="preserve">Chapter 3 Audience Response Questions </w:t>
      </w:r>
    </w:p>
    <w:p w:rsidR="00000000" w:rsidDel="00000000" w:rsidP="00000000" w:rsidRDefault="00000000" w:rsidRPr="00000000" w14:paraId="00000002">
      <w:pPr>
        <w:pStyle w:val="Heading3"/>
        <w:jc w:val="center"/>
        <w:rPr>
          <w:color w:val="854ea7"/>
        </w:rPr>
      </w:pPr>
      <w:bookmarkStart w:colFirst="0" w:colLast="0" w:name="_zlny16e1i6r" w:id="1"/>
      <w:bookmarkEnd w:id="1"/>
      <w:r w:rsidDel="00000000" w:rsidR="00000000" w:rsidRPr="00000000">
        <w:rPr>
          <w:color w:val="854ea7"/>
          <w:rtl w:val="0"/>
        </w:rPr>
        <w:t xml:space="preserve">Beauty Pageants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This assignment aims to get students thinking critically about culture using a contemporary social example. Take the two-question survey to compare your views on beauty pageants to other students in the class.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Questions: 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The beauty pageant industry is designed to provide contestants with a venue to gain self-confidence and self-discipline and develop life skills. 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Disagree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Agree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Don’t know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opinion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Beauty pageants should be banned for anyone below sixteen years old. 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Disagree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Agree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Don’t know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5840" w:w="12240" w:orient="portrait"/>
          <w:pgMar w:bottom="1440" w:top="1440" w:left="1440" w:right="144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  <w:t xml:space="preserve">No opinion </w:t>
      </w:r>
    </w:p>
    <w:p w:rsidR="00000000" w:rsidDel="00000000" w:rsidP="00000000" w:rsidRDefault="00000000" w:rsidRPr="00000000" w14:paraId="00000017">
      <w:pPr>
        <w:pStyle w:val="Heading3"/>
        <w:jc w:val="center"/>
        <w:rPr>
          <w:color w:val="854ea7"/>
        </w:rPr>
      </w:pPr>
      <w:bookmarkStart w:colFirst="0" w:colLast="0" w:name="_t7vm4xodvigz" w:id="2"/>
      <w:bookmarkEnd w:id="2"/>
      <w:r w:rsidDel="00000000" w:rsidR="00000000" w:rsidRPr="00000000">
        <w:rPr>
          <w:color w:val="854ea7"/>
          <w:rtl w:val="0"/>
        </w:rPr>
        <w:t xml:space="preserve">Cultural Transmission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 xml:space="preserve">This assignment aims to get students to think critically about the concept of cultural transmission. Take the two-question survey to compare your views to other students in the class.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rtl w:val="0"/>
        </w:rPr>
        <w:t xml:space="preserve">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Standardized messages are constantly transmitted through language, beliefs, values, and norms. I am fully aware of these standardized messages and how they provide constant and consistent reinforcement of cultural elements in society, thus reinforcing the structures of society.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Disagree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Agree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Don’t know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No opinion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Television and other forms of media serve as electronic storytellers, and I can easily identify the standardized cultural messages that the media conglomerates are communicating. 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Strongly disagree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Disagree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Agree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Strongly agree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Don’t know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No opinion </w:t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Style w:val="Heading2"/>
      <w:jc w:val="center"/>
      <w:rPr/>
    </w:pPr>
    <w:bookmarkStart w:colFirst="0" w:colLast="0" w:name="_mllb4ejq9lzg" w:id="3"/>
    <w:bookmarkEnd w:id="3"/>
    <w:r w:rsidDel="00000000" w:rsidR="00000000" w:rsidRPr="00000000">
      <w:rPr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