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b7448a"/>
          <w:sz w:val="36"/>
          <w:szCs w:val="36"/>
        </w:rPr>
      </w:pPr>
      <w:r w:rsidDel="00000000" w:rsidR="00000000" w:rsidRPr="00000000">
        <w:rPr>
          <w:b w:val="1"/>
          <w:color w:val="b7448a"/>
          <w:sz w:val="36"/>
          <w:szCs w:val="36"/>
          <w:rtl w:val="0"/>
        </w:rPr>
        <w:t xml:space="preserve">Chapter 7 Summary</w:t>
      </w:r>
    </w:p>
    <w:p w:rsidR="00000000" w:rsidDel="00000000" w:rsidP="00000000" w:rsidRDefault="00000000" w:rsidRPr="00000000" w14:paraId="00000002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Perspective: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7.1.1: The New Orleans example of how time and place define deviance has been changed to the shelter-in-place COVID-19 pandemic setting.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7.1.2: The Norma Jean Almodovar tertiary deviance example has been changed to the social movements and social change pertaining to the LGBTQ+ community.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7.1.3: Statistics about first-person shooter games have been updated to reflect 2022 research. </w:t>
      </w:r>
    </w:p>
    <w:p w:rsidR="00000000" w:rsidDel="00000000" w:rsidP="00000000" w:rsidRDefault="00000000" w:rsidRPr="00000000" w14:paraId="00000007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Structures: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7.2.2: Updated to 2022 research about ending sentencing disparities surrounding crack and powder cocaine. </w:t>
      </w:r>
    </w:p>
    <w:p w:rsidR="00000000" w:rsidDel="00000000" w:rsidP="00000000" w:rsidRDefault="00000000" w:rsidRPr="00000000" w14:paraId="0000000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Problems: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7.3.2: Tyre Nichols and George Floyd were included in the section about Police Brutality. 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7.3.4: The trends about Women in Prison have been updated to the most current data.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Change: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7.5.1: Counterfeit information has been updated from 2018 to 2022 data. 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7.5.2: Patriot Act information has been updated to include 2022 and EU policy comparisons. </w:t>
      </w:r>
    </w:p>
    <w:p w:rsidR="00000000" w:rsidDel="00000000" w:rsidP="00000000" w:rsidRDefault="00000000" w:rsidRPr="00000000" w14:paraId="0000001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Instructor and Student Resource Updates: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b w:val="1"/>
          <w:rtl w:val="0"/>
        </w:rPr>
        <w:t xml:space="preserve">Expanded Key Terms:</w:t>
      </w:r>
      <w:r w:rsidDel="00000000" w:rsidR="00000000" w:rsidRPr="00000000">
        <w:rPr>
          <w:rtl w:val="0"/>
        </w:rPr>
        <w:t xml:space="preserve"> Some definitions were reworded, and grammar changes were made to the following examples.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b w:val="1"/>
          <w:rtl w:val="0"/>
        </w:rPr>
        <w:t xml:space="preserve">Study Guides:</w:t>
      </w:r>
      <w:r w:rsidDel="00000000" w:rsidR="00000000" w:rsidRPr="00000000">
        <w:rPr>
          <w:rtl w:val="0"/>
        </w:rPr>
        <w:t xml:space="preserve"> The number of questions has been reduced; any question related to changing statistics, theorists, or theories, and the key terms have been taken out.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The format of all resources has changed for readability.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Tables, Figures, and Images: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All the textbook figures have been updated to the most current data. The color scheme has also changed.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The tables have been reformatted to be consistent throughout the textbook. </w:t>
      </w:r>
    </w:p>
    <w:p w:rsidR="00000000" w:rsidDel="00000000" w:rsidP="00000000" w:rsidRDefault="00000000" w:rsidRPr="00000000" w14:paraId="00000020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jc w:val="left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5943600" cy="17399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9312" l="0" r="0" t="29312"/>
                  <a:stretch>
                    <a:fillRect/>
                  </a:stretch>
                </pic:blipFill>
                <pic:spPr>
                  <a:xfrm>
                    <a:off x="0" y="0"/>
                    <a:ext cx="5943600" cy="17399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Helvetica Neue" w:cs="Helvetica Neue" w:eastAsia="Helvetica Neue" w:hAnsi="Helvetica Neue"/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