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11 Summary</w:t>
      </w:r>
    </w:p>
    <w:p w:rsidR="00000000" w:rsidDel="00000000" w:rsidP="00000000" w:rsidRDefault="00000000" w:rsidRPr="00000000" w14:paraId="0000000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Introduction: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2022 midterm election spending has been included. </w:t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11.1.2: Statistics about social media usage from 2013 have been updated to include 2023 data.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11.1.2: Swanee Hunt has been included to show how women in politics have developed in Rwanda.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11.1.3: The section on global conferences on climate change Greta Thunberg’s speech and social media impact from 2018 to 2023 has been included. </w:t>
      </w:r>
    </w:p>
    <w:p w:rsidR="00000000" w:rsidDel="00000000" w:rsidP="00000000" w:rsidRDefault="00000000" w:rsidRPr="00000000" w14:paraId="00000009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Problems: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11.3.3: Voting laws are updated to May of 2023. 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11.3.4: Voting laws are updated to 2023. 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Imagination: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11.4.1: Examples of outsourcing and offshoring include companies like Google, Amazon, and Slack now. 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11.4.2: Elon Musk’s purchase of Twitter is included. </w:t>
      </w:r>
    </w:p>
    <w:p w:rsidR="00000000" w:rsidDel="00000000" w:rsidP="00000000" w:rsidRDefault="00000000" w:rsidRPr="00000000" w14:paraId="0000001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Change: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11.5.1: </w:t>
      </w:r>
      <w:r w:rsidDel="00000000" w:rsidR="00000000" w:rsidRPr="00000000">
        <w:rPr>
          <w:b w:val="1"/>
          <w:rtl w:val="0"/>
        </w:rPr>
        <w:t xml:space="preserve">Table 11.5.1</w:t>
      </w:r>
      <w:r w:rsidDel="00000000" w:rsidR="00000000" w:rsidRPr="00000000">
        <w:rPr>
          <w:rtl w:val="0"/>
        </w:rPr>
        <w:t xml:space="preserve"> has changed from 2018 to 2022 statistics. 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11.5.1: The 2018 midterm information is changed to 2022. </w:t>
      </w:r>
    </w:p>
    <w:p w:rsidR="00000000" w:rsidDel="00000000" w:rsidP="00000000" w:rsidRDefault="00000000" w:rsidRPr="00000000" w14:paraId="00000015">
      <w:pPr>
        <w:ind w:left="0" w:firstLine="0"/>
        <w:rPr/>
        <w:sectPr>
          <w:headerReference r:id="rId6" w:type="default"/>
          <w:headerReference r:id="rId7" w:type="first"/>
          <w:footerReference r:id="rId8" w:type="first"/>
          <w:pgSz w:h="15840" w:w="12240" w:orient="portrait"/>
          <w:pgMar w:bottom="1440" w:top="1440" w:left="1440" w:right="1440" w:header="720" w:footer="720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b w:val="1"/>
          <w:rtl w:val="0"/>
        </w:rPr>
        <w:t xml:space="preserve">Study Guides:</w:t>
      </w:r>
      <w:r w:rsidDel="00000000" w:rsidR="00000000" w:rsidRPr="00000000">
        <w:rPr>
          <w:rtl w:val="0"/>
        </w:rPr>
        <w:t xml:space="preserve"> The number of questions has been reduced; any question related to changing statistics, theorists, or theories, and the key terms have been taken out.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The format of all resources has changed for readability.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Tables, Figures, and Images: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All the textbook figures have been updated to the most current data. The color scheme has also changed.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The tables have been reformatted to be consistent throughout the textbook. </w:t>
      </w:r>
    </w:p>
    <w:p w:rsidR="00000000" w:rsidDel="00000000" w:rsidP="00000000" w:rsidRDefault="00000000" w:rsidRPr="00000000" w14:paraId="0000002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43600" cy="1739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9312" l="0" r="0" t="29312"/>
                  <a:stretch>
                    <a:fillRect/>
                  </a:stretch>
                </pic:blipFill>
                <pic:spPr>
                  <a:xfrm>
                    <a:off x="0" y="0"/>
                    <a:ext cx="5943600" cy="1739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