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rgie6iajfixg" w:id="0"/>
      <w:bookmarkEnd w:id="0"/>
      <w:r w:rsidDel="00000000" w:rsidR="00000000" w:rsidRPr="00000000">
        <w:rPr>
          <w:rFonts w:ascii="Helvetica Neue" w:cs="Helvetica Neue" w:eastAsia="Helvetica Neue" w:hAnsi="Helvetica Neue"/>
          <w:b w:val="1"/>
          <w:color w:val="b7448a"/>
          <w:rtl w:val="0"/>
        </w:rPr>
        <w:t xml:space="preserve">Chapter 10 Application Assignment</w:t>
      </w:r>
    </w:p>
    <w:p w:rsidR="00000000" w:rsidDel="00000000" w:rsidP="00000000" w:rsidRDefault="00000000" w:rsidRPr="00000000" w14:paraId="00000002">
      <w:pPr>
        <w:pStyle w:val="Heading3"/>
        <w:ind w:left="0" w:firstLine="0"/>
        <w:jc w:val="center"/>
        <w:rPr>
          <w:rFonts w:ascii="Helvetica Neue" w:cs="Helvetica Neue" w:eastAsia="Helvetica Neue" w:hAnsi="Helvetica Neue"/>
          <w:color w:val="854ea7"/>
        </w:rPr>
      </w:pPr>
      <w:bookmarkStart w:colFirst="0" w:colLast="0" w:name="_sj0pkziizovn" w:id="1"/>
      <w:bookmarkEnd w:id="1"/>
      <w:r w:rsidDel="00000000" w:rsidR="00000000" w:rsidRPr="00000000">
        <w:rPr>
          <w:rFonts w:ascii="Helvetica Neue" w:cs="Helvetica Neue" w:eastAsia="Helvetica Neue" w:hAnsi="Helvetica Neue"/>
          <w:color w:val="854ea7"/>
          <w:rtl w:val="0"/>
        </w:rPr>
        <w:t xml:space="preserve">R</w:t>
      </w:r>
      <w:r w:rsidDel="00000000" w:rsidR="00000000" w:rsidRPr="00000000">
        <w:rPr>
          <w:rtl w:val="0"/>
        </w:rPr>
        <w:t xml:space="preserve">acism</w:t>
      </w:r>
      <w:r w:rsidDel="00000000" w:rsidR="00000000" w:rsidRPr="00000000">
        <w:rPr>
          <w:rtl w:val="0"/>
        </w:rPr>
      </w:r>
    </w:p>
    <w:p w:rsidR="00000000" w:rsidDel="00000000" w:rsidP="00000000" w:rsidRDefault="00000000" w:rsidRPr="00000000" w14:paraId="00000003">
      <w:pPr>
        <w:ind w:left="720" w:firstLine="0"/>
        <w:rPr/>
      </w:pPr>
      <w:r w:rsidDel="00000000" w:rsidR="00000000" w:rsidRPr="00000000">
        <w:rPr>
          <w:rtl w:val="0"/>
        </w:rPr>
        <w:t xml:space="preserve">Read the following segment of the article </w:t>
      </w:r>
      <w:r w:rsidDel="00000000" w:rsidR="00000000" w:rsidRPr="00000000">
        <w:rPr>
          <w:i w:val="1"/>
          <w:rtl w:val="0"/>
        </w:rPr>
        <w:t xml:space="preserve">Anxiety, Depression, and the American Adolescent</w:t>
      </w:r>
      <w:r w:rsidDel="00000000" w:rsidR="00000000" w:rsidRPr="00000000">
        <w:rPr>
          <w:rtl w:val="0"/>
        </w:rPr>
        <w:t xml:space="preserve">. Then, answer the questions below. </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i w:val="1"/>
          <w:rtl w:val="0"/>
        </w:rPr>
        <w:t xml:space="preserve">In my dozens of conversations with teens, parents, clinicians, and school counselors across the country, there was a pervasive sense that being a teenager today is a draining full-time job that includes schoolwork, managing a social-media identity and fretting about career, climate change, sexism, racism – you name it. Every fight or </w:t>
      </w:r>
      <w:r w:rsidDel="00000000" w:rsidR="00000000" w:rsidRPr="00000000">
        <w:rPr>
          <w:i w:val="1"/>
          <w:rtl w:val="0"/>
        </w:rPr>
        <w:t xml:space="preserve">slight</w:t>
      </w:r>
      <w:r w:rsidDel="00000000" w:rsidR="00000000" w:rsidRPr="00000000">
        <w:rPr>
          <w:i w:val="1"/>
          <w:rtl w:val="0"/>
        </w:rPr>
        <w:t xml:space="preserve"> is documented online for hours or days after the incident. It’s exhausting. “We’re the first generation that cannot escape our problems at all,” says Faith-Ann. “We’re all like little volcanoes. We’re getting this constant pressure, from our phones, from our relationships, from the way things are today.” It’s hard for many adults to understand how much teenagers’ emotional life is lived within the small screens on their phones, but a CNN special report in 2015 conducted with researchers at the University of California, Davis and the University of Texas Dallas examined the social-media use of more than 200 13-year-olds. Their analysis found that “there is no firm line between their real and online worlds,” according to researchers. </w:t>
      </w:r>
      <w:r w:rsidDel="00000000" w:rsidR="00000000" w:rsidRPr="00000000">
        <w:rPr>
          <w:rtl w:val="0"/>
        </w:rPr>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numPr>
          <w:ilvl w:val="0"/>
          <w:numId w:val="1"/>
        </w:numPr>
        <w:ind w:firstLine="360"/>
        <w:rPr>
          <w:u w:val="none"/>
        </w:rPr>
      </w:pPr>
      <w:r w:rsidDel="00000000" w:rsidR="00000000" w:rsidRPr="00000000">
        <w:rPr>
          <w:rtl w:val="0"/>
        </w:rPr>
        <w:t xml:space="preserve">What is your overall reaction to this segment from the article? Can you relate? Why or why not?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firstLine="360"/>
        <w:rPr>
          <w:u w:val="none"/>
        </w:rPr>
      </w:pPr>
      <w:r w:rsidDel="00000000" w:rsidR="00000000" w:rsidRPr="00000000">
        <w:rPr>
          <w:rtl w:val="0"/>
        </w:rPr>
        <w:t xml:space="preserve">What specifically do you think teenagers are fretting about in regard to the reference to “racism” in the quote?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firstLine="360"/>
        <w:rPr>
          <w:u w:val="none"/>
        </w:rPr>
      </w:pPr>
      <w:r w:rsidDel="00000000" w:rsidR="00000000" w:rsidRPr="00000000">
        <w:rPr>
          <w:rtl w:val="0"/>
        </w:rPr>
        <w:t xml:space="preserve">Define the following and provide an example that might concern teenagers. </w:t>
      </w:r>
    </w:p>
    <w:p w:rsidR="00000000" w:rsidDel="00000000" w:rsidP="00000000" w:rsidRDefault="00000000" w:rsidRPr="00000000" w14:paraId="00000012">
      <w:pPr>
        <w:numPr>
          <w:ilvl w:val="1"/>
          <w:numId w:val="1"/>
        </w:numPr>
        <w:ind w:left="1440" w:hanging="360"/>
        <w:rPr>
          <w:u w:val="none"/>
        </w:rPr>
      </w:pPr>
      <w:r w:rsidDel="00000000" w:rsidR="00000000" w:rsidRPr="00000000">
        <w:rPr>
          <w:rtl w:val="0"/>
        </w:rPr>
        <w:t xml:space="preserve">Stereotypes</w:t>
      </w:r>
    </w:p>
    <w:p w:rsidR="00000000" w:rsidDel="00000000" w:rsidP="00000000" w:rsidRDefault="00000000" w:rsidRPr="00000000" w14:paraId="00000013">
      <w:pPr>
        <w:ind w:left="1440" w:firstLine="0"/>
        <w:rPr/>
      </w:pPr>
      <w:r w:rsidDel="00000000" w:rsidR="00000000" w:rsidRPr="00000000">
        <w:rPr>
          <w:rtl w:val="0"/>
        </w:rPr>
      </w:r>
    </w:p>
    <w:p w:rsidR="00000000" w:rsidDel="00000000" w:rsidP="00000000" w:rsidRDefault="00000000" w:rsidRPr="00000000" w14:paraId="00000014">
      <w:pPr>
        <w:ind w:left="1440" w:firstLine="0"/>
        <w:rPr/>
      </w:pPr>
      <w:r w:rsidDel="00000000" w:rsidR="00000000" w:rsidRPr="00000000">
        <w:rPr>
          <w:rtl w:val="0"/>
        </w:rPr>
      </w:r>
    </w:p>
    <w:p w:rsidR="00000000" w:rsidDel="00000000" w:rsidP="00000000" w:rsidRDefault="00000000" w:rsidRPr="00000000" w14:paraId="00000015">
      <w:pPr>
        <w:ind w:left="1440" w:firstLine="0"/>
        <w:rPr/>
      </w:pPr>
      <w:r w:rsidDel="00000000" w:rsidR="00000000" w:rsidRPr="00000000">
        <w:rPr>
          <w:rtl w:val="0"/>
        </w:rPr>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Prejudice</w:t>
      </w:r>
    </w:p>
    <w:p w:rsidR="00000000" w:rsidDel="00000000" w:rsidP="00000000" w:rsidRDefault="00000000" w:rsidRPr="00000000" w14:paraId="00000017">
      <w:pPr>
        <w:ind w:left="144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Discrimination</w:t>
      </w:r>
    </w:p>
    <w:p w:rsidR="00000000" w:rsidDel="00000000" w:rsidP="00000000" w:rsidRDefault="00000000" w:rsidRPr="00000000" w14:paraId="0000001B">
      <w:pPr>
        <w:ind w:left="1440" w:firstLine="0"/>
        <w:rPr/>
      </w:pPr>
      <w:r w:rsidDel="00000000" w:rsidR="00000000" w:rsidRPr="00000000">
        <w:rPr>
          <w:rtl w:val="0"/>
        </w:rPr>
      </w:r>
    </w:p>
    <w:p w:rsidR="00000000" w:rsidDel="00000000" w:rsidP="00000000" w:rsidRDefault="00000000" w:rsidRPr="00000000" w14:paraId="0000001C">
      <w:pPr>
        <w:ind w:left="1440" w:firstLine="0"/>
        <w:rPr/>
      </w:pPr>
      <w:r w:rsidDel="00000000" w:rsidR="00000000" w:rsidRPr="00000000">
        <w:rPr>
          <w:rtl w:val="0"/>
        </w:rPr>
      </w:r>
    </w:p>
    <w:p w:rsidR="00000000" w:rsidDel="00000000" w:rsidP="00000000" w:rsidRDefault="00000000" w:rsidRPr="00000000" w14:paraId="0000001D">
      <w:pPr>
        <w:ind w:left="1440" w:firstLine="0"/>
        <w:rPr/>
      </w:pPr>
      <w:r w:rsidDel="00000000" w:rsidR="00000000" w:rsidRPr="00000000">
        <w:rPr>
          <w:rtl w:val="0"/>
        </w:rPr>
      </w:r>
    </w:p>
    <w:p w:rsidR="00000000" w:rsidDel="00000000" w:rsidP="00000000" w:rsidRDefault="00000000" w:rsidRPr="00000000" w14:paraId="0000001E">
      <w:pPr>
        <w:numPr>
          <w:ilvl w:val="1"/>
          <w:numId w:val="1"/>
        </w:numPr>
        <w:ind w:left="1440" w:hanging="360"/>
        <w:rPr>
          <w:u w:val="none"/>
        </w:rPr>
      </w:pPr>
      <w:r w:rsidDel="00000000" w:rsidR="00000000" w:rsidRPr="00000000">
        <w:rPr>
          <w:rtl w:val="0"/>
        </w:rPr>
        <w:t xml:space="preserve">Racism </w:t>
      </w:r>
    </w:p>
    <w:p w:rsidR="00000000" w:rsidDel="00000000" w:rsidP="00000000" w:rsidRDefault="00000000" w:rsidRPr="00000000" w14:paraId="0000001F">
      <w:pPr>
        <w:ind w:left="1440" w:firstLine="0"/>
        <w:rPr/>
      </w:pPr>
      <w:r w:rsidDel="00000000" w:rsidR="00000000" w:rsidRPr="00000000">
        <w:rPr>
          <w:rtl w:val="0"/>
        </w:rPr>
      </w:r>
    </w:p>
    <w:p w:rsidR="00000000" w:rsidDel="00000000" w:rsidP="00000000" w:rsidRDefault="00000000" w:rsidRPr="00000000" w14:paraId="00000020">
      <w:pPr>
        <w:ind w:left="1440" w:firstLine="0"/>
        <w:rPr/>
      </w:pPr>
      <w:r w:rsidDel="00000000" w:rsidR="00000000" w:rsidRPr="00000000">
        <w:rPr>
          <w:rtl w:val="0"/>
        </w:rPr>
      </w:r>
    </w:p>
    <w:p w:rsidR="00000000" w:rsidDel="00000000" w:rsidP="00000000" w:rsidRDefault="00000000" w:rsidRPr="00000000" w14:paraId="00000021">
      <w:pPr>
        <w:ind w:left="1440" w:firstLine="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ind w:left="0" w:firstLine="0"/>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ind w:left="0" w:firstLine="0"/>
      <w:jc w:val="right"/>
      <w:rPr>
        <w:b w:val="1"/>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Style w:val="Heading2"/>
      <w:ind w:left="0" w:firstLine="0"/>
      <w:jc w:val="center"/>
      <w:rPr/>
    </w:pPr>
    <w:bookmarkStart w:colFirst="0" w:colLast="0" w:name="_kgo1p4a9hzzn" w:id="2"/>
    <w:bookmarkEnd w:id="2"/>
    <w:r w:rsidDel="00000000" w:rsidR="00000000" w:rsidRPr="00000000">
      <w:rPr>
        <w:b w:val="1"/>
        <w:color w:val="b7448a"/>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ind w:left="72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ind w:left="0" w:firstLine="0"/>
    </w:pPr>
    <w:rPr>
      <w:color w:val="854ea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