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gkeg7746fjvd" w:id="0"/>
      <w:bookmarkEnd w:id="0"/>
      <w:r w:rsidDel="00000000" w:rsidR="00000000" w:rsidRPr="00000000">
        <w:rPr>
          <w:rFonts w:ascii="Helvetica Neue" w:cs="Helvetica Neue" w:eastAsia="Helvetica Neue" w:hAnsi="Helvetica Neue"/>
          <w:b w:val="1"/>
          <w:color w:val="b7448a"/>
          <w:rtl w:val="0"/>
        </w:rPr>
        <w:t xml:space="preserve">Chapter 15 Writing Assignment</w:t>
      </w:r>
    </w:p>
    <w:p w:rsidR="00000000" w:rsidDel="00000000" w:rsidP="00000000" w:rsidRDefault="00000000" w:rsidRPr="00000000" w14:paraId="0000000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the following questions to review your critical understanding of the concepts presented in the chapter. </w:t>
      </w:r>
    </w:p>
    <w:p w:rsidR="00000000" w:rsidDel="00000000" w:rsidP="00000000" w:rsidRDefault="00000000" w:rsidRPr="00000000" w14:paraId="00000003">
      <w:pPr>
        <w:pStyle w:val="Heading3"/>
        <w:rPr>
          <w:rFonts w:ascii="Helvetica Neue" w:cs="Helvetica Neue" w:eastAsia="Helvetica Neue" w:hAnsi="Helvetica Neue"/>
          <w:color w:val="854ea7"/>
        </w:rPr>
      </w:pPr>
      <w:bookmarkStart w:colFirst="0" w:colLast="0" w:name="_wzfqczj04ihh" w:id="1"/>
      <w:bookmarkEnd w:id="1"/>
      <w:r w:rsidDel="00000000" w:rsidR="00000000" w:rsidRPr="00000000">
        <w:rPr>
          <w:rFonts w:ascii="Helvetica Neue" w:cs="Helvetica Neue" w:eastAsia="Helvetica Neue" w:hAnsi="Helvetica Neue"/>
          <w:color w:val="854ea7"/>
          <w:rtl w:val="0"/>
        </w:rPr>
        <w:t xml:space="preserve">Know the Facts:</w:t>
      </w:r>
    </w:p>
    <w:p w:rsidR="00000000" w:rsidDel="00000000" w:rsidP="00000000" w:rsidRDefault="00000000" w:rsidRPr="00000000" w14:paraId="00000004">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Identify and explain the three theories of crowd behavior. </w:t>
      </w:r>
    </w:p>
    <w:p w:rsidR="00000000" w:rsidDel="00000000" w:rsidP="00000000" w:rsidRDefault="00000000" w:rsidRPr="00000000" w14:paraId="00000005">
      <w:pPr>
        <w:pStyle w:val="Heading3"/>
        <w:rPr>
          <w:rFonts w:ascii="Helvetica Neue" w:cs="Helvetica Neue" w:eastAsia="Helvetica Neue" w:hAnsi="Helvetica Neue"/>
          <w:color w:val="854ea7"/>
        </w:rPr>
      </w:pPr>
      <w:bookmarkStart w:colFirst="0" w:colLast="0" w:name="_e4jq5m43td3a" w:id="2"/>
      <w:bookmarkEnd w:id="2"/>
      <w:r w:rsidDel="00000000" w:rsidR="00000000" w:rsidRPr="00000000">
        <w:rPr>
          <w:rFonts w:ascii="Helvetica Neue" w:cs="Helvetica Neue" w:eastAsia="Helvetica Neue" w:hAnsi="Helvetica Neue"/>
          <w:color w:val="854ea7"/>
          <w:rtl w:val="0"/>
        </w:rPr>
        <w:t xml:space="preserve">Understand the Concepts:</w:t>
      </w:r>
    </w:p>
    <w:p w:rsidR="00000000" w:rsidDel="00000000" w:rsidP="00000000" w:rsidRDefault="00000000" w:rsidRPr="00000000" w14:paraId="00000006">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Describe the stages of a social movement. In particular, explain how the decline of a social movement does not necessarily mean its demise. </w:t>
      </w:r>
      <w:r w:rsidDel="00000000" w:rsidR="00000000" w:rsidRPr="00000000">
        <w:rPr>
          <w:rtl w:val="0"/>
        </w:rPr>
      </w:r>
    </w:p>
    <w:p w:rsidR="00000000" w:rsidDel="00000000" w:rsidP="00000000" w:rsidRDefault="00000000" w:rsidRPr="00000000" w14:paraId="00000007">
      <w:pPr>
        <w:pStyle w:val="Heading3"/>
        <w:rPr>
          <w:rFonts w:ascii="Helvetica Neue" w:cs="Helvetica Neue" w:eastAsia="Helvetica Neue" w:hAnsi="Helvetica Neue"/>
          <w:color w:val="854ea7"/>
        </w:rPr>
      </w:pPr>
      <w:bookmarkStart w:colFirst="0" w:colLast="0" w:name="_bss9hjue4vs5" w:id="3"/>
      <w:bookmarkEnd w:id="3"/>
      <w:r w:rsidDel="00000000" w:rsidR="00000000" w:rsidRPr="00000000">
        <w:rPr>
          <w:rFonts w:ascii="Helvetica Neue" w:cs="Helvetica Neue" w:eastAsia="Helvetica Neue" w:hAnsi="Helvetica Neue"/>
          <w:color w:val="854ea7"/>
          <w:rtl w:val="0"/>
        </w:rPr>
        <w:t xml:space="preserve">Apply What You Know:</w:t>
      </w:r>
    </w:p>
    <w:p w:rsidR="00000000" w:rsidDel="00000000" w:rsidP="00000000" w:rsidRDefault="00000000" w:rsidRPr="00000000" w14:paraId="00000008">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sociological imagination is an effective tool when examining the experience of homeless populations in society. The personal troubles experienced by the homeless can be better understood when they are placed in the context of larger social issues. </w:t>
      </w:r>
    </w:p>
    <w:p w:rsidR="00000000" w:rsidDel="00000000" w:rsidP="00000000" w:rsidRDefault="00000000" w:rsidRPr="00000000" w14:paraId="00000009">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Apply the sociological imagination to other communities in society to gain insight into the connection between their personal troubles and public issues. </w:t>
      </w:r>
    </w:p>
    <w:p w:rsidR="00000000" w:rsidDel="00000000" w:rsidP="00000000" w:rsidRDefault="00000000" w:rsidRPr="00000000" w14:paraId="0000000B">
      <w:pPr>
        <w:pStyle w:val="Heading3"/>
        <w:rPr>
          <w:rFonts w:ascii="Helvetica Neue" w:cs="Helvetica Neue" w:eastAsia="Helvetica Neue" w:hAnsi="Helvetica Neue"/>
          <w:color w:val="854ea7"/>
        </w:rPr>
      </w:pPr>
      <w:bookmarkStart w:colFirst="0" w:colLast="0" w:name="_a2ulf0aggl2n" w:id="4"/>
      <w:bookmarkEnd w:id="4"/>
      <w:r w:rsidDel="00000000" w:rsidR="00000000" w:rsidRPr="00000000">
        <w:rPr>
          <w:rFonts w:ascii="Helvetica Neue" w:cs="Helvetica Neue" w:eastAsia="Helvetica Neue" w:hAnsi="Helvetica Neue"/>
          <w:color w:val="854ea7"/>
          <w:rtl w:val="0"/>
        </w:rPr>
        <w:t xml:space="preserve">Analyze It:</w:t>
      </w:r>
    </w:p>
    <w:p w:rsidR="00000000" w:rsidDel="00000000" w:rsidP="00000000" w:rsidRDefault="00000000" w:rsidRPr="00000000" w14:paraId="0000000C">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complete the course, graduate, and move into the workforce. Thinking about the graying of American and global aging is not at the top of your priority list as you make new friends at work and build your career. After a number of years, you marry and start a family in your early thirties. You begin to notice more headlines in the news about global aging and how many developed countries are on the brink of collapse. The U.S. economy is beginning to experience more impacts </w:t>
      </w:r>
      <w:r w:rsidDel="00000000" w:rsidR="00000000" w:rsidRPr="00000000">
        <w:rPr>
          <w:rFonts w:ascii="Helvetica Neue" w:cs="Helvetica Neue" w:eastAsia="Helvetica Neue" w:hAnsi="Helvetica Neue"/>
          <w:sz w:val="24"/>
          <w:szCs w:val="24"/>
          <w:rtl w:val="0"/>
        </w:rPr>
        <w:t xml:space="preserve">due to the graying of America and the shakey global economy. This causes you to recall the chapter from SociologicalYOU about the topic. During a conversation with coworkers, the topic of aging arises, and someone asks, ”</w:t>
      </w:r>
      <w:r w:rsidDel="00000000" w:rsidR="00000000" w:rsidRPr="00000000">
        <w:rPr>
          <w:rFonts w:ascii="Helvetica Neue" w:cs="Helvetica Neue" w:eastAsia="Helvetica Neue" w:hAnsi="Helvetica Neue"/>
          <w:i w:val="1"/>
          <w:sz w:val="24"/>
          <w:szCs w:val="24"/>
          <w:rtl w:val="0"/>
        </w:rPr>
        <w:t xml:space="preserve">What’s the big deal about global aging?</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0D">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numPr>
          <w:ilvl w:val="0"/>
          <w:numId w:val="1"/>
        </w:numPr>
        <w:ind w:left="144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It’s your turn to shine and provide a 60-second overview of the main issues. How will you respond? </w:t>
      </w:r>
    </w:p>
    <w:p w:rsidR="00000000" w:rsidDel="00000000" w:rsidP="00000000" w:rsidRDefault="00000000" w:rsidRPr="00000000" w14:paraId="0000000F">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0">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next question from another coworker is, “</w:t>
      </w:r>
      <w:r w:rsidDel="00000000" w:rsidR="00000000" w:rsidRPr="00000000">
        <w:rPr>
          <w:rFonts w:ascii="Helvetica Neue" w:cs="Helvetica Neue" w:eastAsia="Helvetica Neue" w:hAnsi="Helvetica Neue"/>
          <w:i w:val="1"/>
          <w:sz w:val="24"/>
          <w:szCs w:val="24"/>
          <w:rtl w:val="0"/>
        </w:rPr>
        <w:t xml:space="preserve">What should the U.S. government do about it, and is there anything I can do personally?</w:t>
      </w:r>
      <w:r w:rsidDel="00000000" w:rsidR="00000000" w:rsidRPr="00000000">
        <w:rPr>
          <w:rFonts w:ascii="Helvetica Neue" w:cs="Helvetica Neue" w:eastAsia="Helvetica Neue" w:hAnsi="Helvetica Neue"/>
          <w:sz w:val="24"/>
          <w:szCs w:val="24"/>
          <w:rtl w:val="0"/>
        </w:rPr>
        <w:t xml:space="preserve">” What will you say? </w:t>
      </w:r>
    </w:p>
    <w:p w:rsidR="00000000" w:rsidDel="00000000" w:rsidP="00000000" w:rsidRDefault="00000000" w:rsidRPr="00000000" w14:paraId="00000011">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numPr>
          <w:ilvl w:val="0"/>
          <w:numId w:val="1"/>
        </w:numPr>
        <w:ind w:left="144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Next, list two action items the government should consider implementing and one personal action item you can do to protect your family and yourself from the effects of the graying of America and global aging. </w:t>
      </w:r>
    </w:p>
    <w:p w:rsidR="00000000" w:rsidDel="00000000" w:rsidP="00000000" w:rsidRDefault="00000000" w:rsidRPr="00000000" w14:paraId="00000013">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3"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1"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Style w:val="Heading2"/>
      <w:jc w:val="center"/>
      <w:rPr/>
    </w:pPr>
    <w:bookmarkStart w:colFirst="0" w:colLast="0" w:name="_77ilxfpu4um5" w:id="5"/>
    <w:bookmarkEnd w:id="5"/>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2" name="image2.png"/>
          <a:graphic>
            <a:graphicData uri="http://schemas.openxmlformats.org/drawingml/2006/picture">
              <pic:pic>
                <pic:nvPicPr>
                  <pic:cNvPr id="0" name="image2.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