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  <w:color w:val="b7448a"/>
        </w:rPr>
      </w:pPr>
      <w:bookmarkStart w:colFirst="0" w:colLast="0" w:name="_spqcbvq4ak0u" w:id="0"/>
      <w:bookmarkEnd w:id="0"/>
      <w:r w:rsidDel="00000000" w:rsidR="00000000" w:rsidRPr="00000000">
        <w:rPr>
          <w:rtl w:val="0"/>
        </w:rPr>
        <w:t xml:space="preserve">Chapter 4 Practice Quiz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wnvqnk2c1p6z" w:id="1"/>
      <w:bookmarkEnd w:id="1"/>
      <w:r w:rsidDel="00000000" w:rsidR="00000000" w:rsidRPr="00000000">
        <w:rPr>
          <w:rtl w:val="0"/>
        </w:rPr>
        <w:t xml:space="preserve">Questions 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9sb0alamiqfy" w:id="2"/>
      <w:bookmarkEnd w:id="2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supports that nature has a significant role in the development of self?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Serial killers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Twins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child viewing parents hitting each other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Alcohol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described the concept of the social self arising from social experiences and activities?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Mead 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Cooley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Durkheim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Mead and Cooley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involves imagining how we look to others and developing a self-concept such as pride or mortification. 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Generalized other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Looking-glass self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Ethnocentrism 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Nurture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kpn4sot1emw0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agents of socialization do not impact social structures.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High-status youth are popular and always well-liked by their peers.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hidden curriculum may have impacted your choice of a college major.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Digital natives were born before the widespread adoption of technology.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xgxyjm6xy3qz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Resocialization is the process of learning from one another in a social context as a result of observation and imitation.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Birthdays, weddings, and funerals are all examples of anticipatory socialization.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child that has been isolated, neglected, and raised without socialization is known as _____.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Degradation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Rites of passage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Learning process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Feral (child/ren)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army, prisons, convents, and cults are all examples of _____.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Total institutions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Rites of passages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Dramaturgy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generalized other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76krxjekjym9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Genie did not understand that she was not supposed to use the bathroom in public because she had no “backstage.”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 </w:t>
      </w:r>
      <w:r w:rsidDel="00000000" w:rsidR="00000000" w:rsidRPr="00000000">
        <w:rPr>
          <w:rtl w:val="0"/>
        </w:rPr>
        <w:t xml:space="preserve">People typically try to look and act their best to make themselves more appealing on a first date. According to Erving Goffman, this is an example of the looking-glass self.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many people, the pat down at the airport is uncomfortable because it is a violation of _____. 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degradation ceremony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backstage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Personal space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significant other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/>
      </w:pPr>
      <w:bookmarkStart w:colFirst="0" w:colLast="0" w:name="_sysil9ud1udl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what point does socialization in the life course end?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Young adulthood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Middle adult years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Senior years 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 of these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In the life course sequence, senior citizens are least inclined to adapt to technological change.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b w:val="1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For individuals 80+, using information and communication technologies (ICT) reduces loneliness and increases autonomy.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5iu67bfe3zl1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ps66hlganq7g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4.1.1)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4.1.2; LO 4.1.3)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4.1.3)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rPr/>
      </w:pPr>
      <w:bookmarkStart w:colFirst="0" w:colLast="0" w:name="_xopnu3wpk3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4.2.1)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4.2.1)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4.2.2)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4.2.2)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2m1t98sdlsy0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4.3.3)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4.3.2)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4.3.1)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4.3.3)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ghfeprxmdeo7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4.4.1)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4.4.1)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4.4.2.)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4.4.2)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a337ffskvlb8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4.5.1)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4.5.2)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4.5.2) 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Style w:val="Heading2"/>
      <w:rPr/>
    </w:pPr>
    <w:bookmarkStart w:colFirst="0" w:colLast="0" w:name="_o1j4rz3d62z4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