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color w:val="b7448a"/>
        </w:rPr>
      </w:pPr>
      <w:bookmarkStart w:colFirst="0" w:colLast="0" w:name="_1v6kho8g6bd2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4 Socialization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tc8zxonexhmf" w:id="1"/>
      <w:bookmarkEnd w:id="1"/>
      <w:r w:rsidDel="00000000" w:rsidR="00000000" w:rsidRPr="00000000">
        <w:rPr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While not everything may be in this study guide, it will help you review some key points in each chapter module. Read through the module, </w:t>
      </w:r>
      <w:r w:rsidDel="00000000" w:rsidR="00000000" w:rsidRPr="00000000">
        <w:rPr>
          <w:rtl w:val="0"/>
        </w:rPr>
        <w:t xml:space="preserve">expanded</w:t>
      </w:r>
      <w:r w:rsidDel="00000000" w:rsidR="00000000" w:rsidRPr="00000000">
        <w:rPr>
          <w:rtl w:val="0"/>
        </w:rPr>
        <w:t xml:space="preserve"> key terms, and ask your instructor if there are additional questions after completing this study guide.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9sb0alamiqfy" w:id="2"/>
      <w:bookmarkEnd w:id="2"/>
      <w:r w:rsidDel="00000000" w:rsidR="00000000" w:rsidRPr="00000000">
        <w:rPr>
          <w:b w:val="1"/>
          <w:color w:val="1c6fec"/>
          <w:rtl w:val="0"/>
        </w:rPr>
        <w:t xml:space="preserve">Module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Explain the phases of the looking-glass self.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Provide an example of the looking-glass self that you have experienced or observed.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Describe the nature vs. nurture debate.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kpn4sot1emw0" w:id="3"/>
      <w:bookmarkEnd w:id="3"/>
      <w:r w:rsidDel="00000000" w:rsidR="00000000" w:rsidRPr="00000000">
        <w:rPr>
          <w:b w:val="1"/>
          <w:color w:val="1c6fec"/>
          <w:rtl w:val="0"/>
        </w:rPr>
        <w:t xml:space="preserve">Module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Explain the role of the family in the socialization process.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Explain the role of peers in the socialization process.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role does socialization play in the number of girls who pursue STEM careers?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Discuss the impact of media as an agent of socialization.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do digital natives differ from digital immigrants?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Identify ways in which social media impacts college students both positively and negatively.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How does religion act as an agent of socialization?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Identify ways in which work acts as an agent of socialization.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some ways in which the government acts as an agent of socialization to mold and shape its citizens?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rPr>
          <w:b w:val="1"/>
          <w:color w:val="1c6fec"/>
        </w:rPr>
      </w:pPr>
      <w:bookmarkStart w:colFirst="0" w:colLast="0" w:name="_xgxyjm6xy3qz" w:id="4"/>
      <w:bookmarkEnd w:id="4"/>
      <w:r w:rsidDel="00000000" w:rsidR="00000000" w:rsidRPr="00000000">
        <w:rPr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276" w:lineRule="auto"/>
        <w:ind w:left="0" w:firstLine="0"/>
        <w:rPr/>
      </w:pPr>
      <w:commentRangeStart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76krxjekjym9" w:id="5"/>
      <w:bookmarkEnd w:id="5"/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color w:val="1c6fec"/>
          <w:rtl w:val="0"/>
        </w:rPr>
        <w:t xml:space="preserve">Module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How can a first date be used to illustrate Goffman’s theory of dramaturgy?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four distance zones in Edward Hall’s Proxemic Theory?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wk3rqwfs9us" w:id="6"/>
      <w:bookmarkEnd w:id="6"/>
      <w:r w:rsidDel="00000000" w:rsidR="00000000" w:rsidRPr="00000000">
        <w:rPr>
          <w:b w:val="1"/>
          <w:color w:val="1c6fec"/>
          <w:rtl w:val="0"/>
        </w:rPr>
        <w:t xml:space="preserve">Module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Identify and explain the stages of the life course perspective.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Discuss technology’s impact on socialization within the life course.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Nora Mortimer" w:id="0" w:date="2023-03-13T17:20:36Z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are no questions after removing vocabulary terms. Are there questions we can ask about the /content/?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Style w:val="Heading2"/>
      <w:rPr/>
    </w:pPr>
    <w:bookmarkStart w:colFirst="0" w:colLast="0" w:name="_sc5vxlwdqpug" w:id="7"/>
    <w:bookmarkEnd w:id="7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