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i7m8b6fqz1vz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5 Practice Quiz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oed4mlle6glj" w:id="1"/>
      <w:bookmarkEnd w:id="1"/>
      <w:r w:rsidDel="00000000" w:rsidR="00000000" w:rsidRPr="00000000">
        <w:rPr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b w:val="1"/>
          <w:color w:val="1c6fec"/>
        </w:rPr>
      </w:pPr>
      <w:bookmarkStart w:colFirst="0" w:colLast="0" w:name="_69fyw365r8q8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 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Social interactions are complex and involve social context, perceptions, and social attributions. 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social interaction theories is associated with breaching?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Symbolic interaction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Dramaturgy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Ethnomethodology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exchange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social interaction theories is associated with face work? 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Symbolic interaction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Dramaturgy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Ethnomethodology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Social exchange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social interaction theories is associated with comparison levels?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Symbolic interaction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Dramaturgy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Ethnomethodology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Social exchange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dicsr0eb77ny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social statuses are assigned based on race, sex, and social class at birth?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Achieved 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Role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Master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Ascribed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Conspicuous consumption can be a means to compensate for the lack of ascribed status by flaunting _____ status. 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Achieved 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Role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Master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Ascribed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Role _____ occurs when there are competing demands from two or more statuses. 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 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Conflict 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Strain 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Exit 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A role exit is often a quick decision with little thought. 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z2xcenw3h2ck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Social institutions are made up of two or more individuals connected by common bonds and shared social relations.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_____ are defined as social groups that are made up of impersonal and detached associations.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categories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Primary groups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Secondary groups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networks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Family relationships, college alum organizations, and Facebook are all examples of _____.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Solidarity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networks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Roles exit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Gesellschaft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theoretical perspective contends that keeping the current social institutions in place effectively maintains inequality between different social groups?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Symbolic interactionist theory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Role attachment theory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Functionalist theory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Conflict theory </w:t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lgblo47yl1y5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In American society, joyfully laughing at a funeral is considered </w:t>
      </w:r>
      <w:r w:rsidDel="00000000" w:rsidR="00000000" w:rsidRPr="00000000">
        <w:rPr>
          <w:rtl w:val="0"/>
        </w:rPr>
        <w:t xml:space="preserve">prescriptive</w:t>
      </w:r>
      <w:r w:rsidDel="00000000" w:rsidR="00000000" w:rsidRPr="00000000">
        <w:rPr>
          <w:rtl w:val="0"/>
        </w:rPr>
        <w:t xml:space="preserve"> behavior. 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worker that regulates her personal feelings to set an emotional tone for customers in a business setting is engaging in which type of behavior?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Impression management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Emotional labor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Role conflict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exchange 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she was walking home from school, Sarah experienced unwanted attention from a racially motivated, offensive, intimidating, and scary group of men. According to the reading, Sarah experienced _____.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Feeling rules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Racial harassment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Street harassment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Both B and C 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of the following </w:t>
      </w:r>
      <w:r w:rsidDel="00000000" w:rsidR="00000000" w:rsidRPr="00000000">
        <w:rPr>
          <w:b w:val="1"/>
          <w:rtl w:val="0"/>
        </w:rPr>
        <w:t xml:space="preserve">except</w:t>
      </w:r>
      <w:r w:rsidDel="00000000" w:rsidR="00000000" w:rsidRPr="00000000">
        <w:rPr>
          <w:rtl w:val="0"/>
        </w:rPr>
        <w:t xml:space="preserve"> _____ have been used by societies around the world to try and eradicate street harassment.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programs and legislation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Security cameras and policing 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 service announcements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 have been used </w:t>
      </w:r>
    </w:p>
    <w:p w:rsidR="00000000" w:rsidDel="00000000" w:rsidP="00000000" w:rsidRDefault="00000000" w:rsidRPr="00000000" w14:paraId="00000053">
      <w:pPr>
        <w:pStyle w:val="Heading3"/>
        <w:rPr/>
      </w:pPr>
      <w:bookmarkStart w:colFirst="0" w:colLast="0" w:name="_2edt1jjrrzl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Technology is defined as tools created by science to address and solve humanity's problems. 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Robots, establishing telepresence in the classroom, and social networking with Twitter are all possible because of _____. 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interaction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Organic solidarity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Technology 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Status 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Whether it involves face-to-face or social interaction via networking in cyberspace, _____ contends that perception influences reality. 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Secondary groups 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Thomas theorem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Feeling rules 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Achieved status 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rPr/>
      </w:pPr>
      <w:bookmarkStart w:colFirst="0" w:colLast="0" w:name="_dtyb57itdkaf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5o02muhas050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5.1.1)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5.1.2)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5.1.3)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5.1.4)</w:t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7q4e5a5vam7o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5.2.1)</w:t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5.2.2)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5.2.2)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5.2.3)</w:t>
      </w:r>
    </w:p>
    <w:p w:rsidR="00000000" w:rsidDel="00000000" w:rsidP="00000000" w:rsidRDefault="00000000" w:rsidRPr="00000000" w14:paraId="0000006E">
      <w:pPr>
        <w:pStyle w:val="Heading3"/>
        <w:rPr/>
      </w:pPr>
      <w:bookmarkStart w:colFirst="0" w:colLast="0" w:name="_ng5wlleooxoc" w:id="10"/>
      <w:bookmarkEnd w:id="10"/>
      <w:r w:rsidDel="00000000" w:rsidR="00000000" w:rsidRPr="00000000">
        <w:rPr>
          <w:rtl w:val="0"/>
        </w:rPr>
        <w:t xml:space="preserve">Module 3 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5.3.1)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5.3.2)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5.3.2)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5.3.2)</w:t>
      </w:r>
    </w:p>
    <w:p w:rsidR="00000000" w:rsidDel="00000000" w:rsidP="00000000" w:rsidRDefault="00000000" w:rsidRPr="00000000" w14:paraId="00000073">
      <w:pPr>
        <w:pStyle w:val="Heading3"/>
        <w:rPr/>
      </w:pPr>
      <w:bookmarkStart w:colFirst="0" w:colLast="0" w:name="_lwqjs0sfjcfj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5.4.1)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5.4.1)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5.4.2)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5.4.2)</w:t>
      </w:r>
    </w:p>
    <w:p w:rsidR="00000000" w:rsidDel="00000000" w:rsidP="00000000" w:rsidRDefault="00000000" w:rsidRPr="00000000" w14:paraId="00000078">
      <w:pPr>
        <w:pStyle w:val="Heading3"/>
        <w:rPr/>
      </w:pPr>
      <w:bookmarkStart w:colFirst="0" w:colLast="0" w:name="_jtk276cavfd9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5.5.1)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5.5.1)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 (LO 5.5.2) 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pStyle w:val="Heading2"/>
      <w:rPr/>
    </w:pPr>
    <w:bookmarkStart w:colFirst="0" w:colLast="0" w:name="_iugk7jyn5dz7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