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rnzlwkx8tzz4" w:id="0"/>
      <w:bookmarkEnd w:id="0"/>
      <w:r w:rsidDel="00000000" w:rsidR="00000000" w:rsidRPr="00000000">
        <w:rPr>
          <w:rtl w:val="0"/>
        </w:rPr>
        <w:t xml:space="preserve">Chapter 6 Groups and Organizations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8znzy85dagsw" w:id="1"/>
      <w:bookmarkEnd w:id="1"/>
      <w:r w:rsidDel="00000000" w:rsidR="00000000" w:rsidRPr="00000000">
        <w:rPr>
          <w:rtl w:val="0"/>
        </w:rPr>
        <w:t xml:space="preserve">Study Guide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chapter module.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rPr>
          <w:b w:val="1"/>
          <w:color w:val="1c6fec"/>
        </w:rPr>
      </w:pPr>
      <w:bookmarkStart w:colFirst="0" w:colLast="0" w:name="_ad7clcnhnskq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unique characteristics of the Zappos online shoe company and CEO Tony Hsieh.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understand how groups and organizations are structured?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Georg Simmel indicate about strategies among triads?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5 group stages.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some groups fail to reach the performing stage?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characteristics of a secondary group.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characteristics of a primary group.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your reference groups.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example of how mobs can form an instant reference group.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in-groups and out-groups that you have participated in in the past.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social cliques you have participated in.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organizations that are open and closed.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individuals who were part of out-groups who were involved in mass shootings.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Solomon Asch’s experiment.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the findings of the Solomon Asch experiment to conformity and nonconformity.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have the findings of the replicated studies indicated regarding the Solomon Asch experiment?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there is power in nonconformity.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process of how other members address nonconformists in a group.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nonconformity to sustainability.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Irving L. Janus’s definition of groupthink?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eight (8) symptoms of groupthink.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three (3) common characteristics of groupthink.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Cuban exiles’ invasion of Cuba in 1961 and how it relates to groupthink.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1986 Challenger space shuttle tragedy and how it relates to groupthink.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organizations can lessen or eliminate groupthink.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“rise of the New Groupthink.”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 specific example of the New Groupthink in relation to corporate culture.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after="0" w:before="0" w:lineRule="auto"/>
        <w:rPr/>
      </w:pPr>
      <w:bookmarkStart w:colFirst="0" w:colLast="0" w:name="_4hpsnyttaesc" w:id="3"/>
      <w:bookmarkEnd w:id="3"/>
      <w:r w:rsidDel="00000000" w:rsidR="00000000" w:rsidRPr="00000000">
        <w:rPr>
          <w:b w:val="1"/>
          <w:color w:val="1c6fec"/>
          <w:rtl w:val="0"/>
        </w:rPr>
        <w:t xml:space="preserve">Module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organizations integral components of structures?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informal organizations.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normative organizations.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normative organizations.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colleges and universities were the top three most green and sustainable in 2015?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utilitarian organizations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significance of </w:t>
      </w:r>
      <w:r w:rsidDel="00000000" w:rsidR="00000000" w:rsidRPr="00000000">
        <w:rPr>
          <w:i w:val="1"/>
          <w:rtl w:val="0"/>
        </w:rPr>
        <w:t xml:space="preserve">people, planet, and profit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corporate interface culture.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how utilitarian corporations such as Wal-Mart and Interface are blending characteristics of normative and utilitarian organizations.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coercive organizations.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the concept of resocialization.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total institutions.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Goffman’s four central features of total institutions.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Weber’s six (6) characteristics of bureaucracies. 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spacing w:after="0" w:before="0" w:lineRule="auto"/>
        <w:rPr>
          <w:b w:val="1"/>
          <w:color w:val="1c6fec"/>
        </w:rPr>
      </w:pPr>
      <w:bookmarkStart w:colFirst="0" w:colLast="0" w:name="_6p16o0wyt2jq" w:id="4"/>
      <w:bookmarkEnd w:id="4"/>
      <w:r w:rsidDel="00000000" w:rsidR="00000000" w:rsidRPr="00000000">
        <w:rPr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how the Peter Principle and the spoils system can impact groups, organizations, and society.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personal troubles and public issues that may result when the rules of bureaucracies conflict with the lives of individuals.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rtl w:val="0"/>
        </w:rPr>
        <w:t xml:space="preserve">McDonaldization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elements of McDonaldization.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leaders important to successful group formation?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and describe the styles of leadership.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differences between a transactional leader and a transformational leader.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the functionalist, conflict, and symbolic interactionist perspectives to social groups and organizations. 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spacing w:after="0" w:before="0" w:lineRule="auto"/>
        <w:rPr>
          <w:b w:val="1"/>
          <w:color w:val="1c6fec"/>
        </w:rPr>
      </w:pPr>
      <w:bookmarkStart w:colFirst="0" w:colLast="0" w:name="_l152rkzgifg" w:id="5"/>
      <w:bookmarkEnd w:id="5"/>
      <w:r w:rsidDel="00000000" w:rsidR="00000000" w:rsidRPr="00000000">
        <w:rPr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why women have been underrepresented in leadership positions.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nepotism and social capital might help a person when they are looking for a job.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nepotism and social capital might hurt someone when looking for a job.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pacing w:after="0" w:before="0" w:lineRule="auto"/>
        <w:rPr>
          <w:b w:val="1"/>
          <w:color w:val="1c6fec"/>
        </w:rPr>
      </w:pPr>
      <w:bookmarkStart w:colFirst="0" w:colLast="0" w:name="_z6zwy1ob31ff" w:id="6"/>
      <w:bookmarkEnd w:id="6"/>
      <w:r w:rsidDel="00000000" w:rsidR="00000000" w:rsidRPr="00000000">
        <w:rPr>
          <w:b w:val="1"/>
          <w:color w:val="1c6fec"/>
          <w:rtl w:val="0"/>
        </w:rPr>
        <w:t xml:space="preserve">Module 5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how employees may use social media to waste time at work.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employers doing to combat cyberslacking in the workplace?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pros and cons of telecommuting.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trends in telecommuting.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role will robot technology have in changing the workplace of the future?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Style w:val="Heading2"/>
      <w:rPr/>
    </w:pPr>
    <w:bookmarkStart w:colFirst="0" w:colLast="0" w:name="_6iplm8dbdpf4" w:id="7"/>
    <w:bookmarkEnd w:id="7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