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ua25d0x6x7e8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 Discussion Questions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qvrr4illve0m" w:id="1"/>
      <w:bookmarkEnd w:id="1"/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.1.1 </w:t>
      </w:r>
      <w:r w:rsidDel="00000000" w:rsidR="00000000" w:rsidRPr="00000000">
        <w:rPr>
          <w:rtl w:val="0"/>
        </w:rPr>
        <w:t xml:space="preserve">Gender Socialization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How were you socialized regarding gender? Was your room painted a color associated with a particular gender? Did you play with gender-specific toys? Did your parents encourage you to participate in extracurricular activities related to a specific gender?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y70allydkvlv" w:id="2"/>
      <w:bookmarkEnd w:id="2"/>
      <w:r w:rsidDel="00000000" w:rsidR="00000000" w:rsidRPr="00000000">
        <w:rPr>
          <w:rtl w:val="0"/>
        </w:rPr>
        <w:t xml:space="preserve">9.2.1 The Gender Gap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Consider how you would feel about doing the same job, working the same hours, and expending the same energy as a coworker of the opposite sex but getting paid one-quarter to nearly one-half less because of your sex. Based on the structural causes of gender stratification in the workplace, do you believe you could change the situation? 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vy8vqnclbygp" w:id="3"/>
      <w:bookmarkEnd w:id="3"/>
      <w:r w:rsidDel="00000000" w:rsidR="00000000" w:rsidRPr="00000000">
        <w:rPr>
          <w:rtl w:val="0"/>
        </w:rPr>
        <w:t xml:space="preserve">9.3.1 Violence Against Women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Is violence against women ingrained in culture? If so, can any government agency or international organization do anything to stop it? 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3vrawftdyy8w" w:id="4"/>
      <w:bookmarkEnd w:id="4"/>
      <w:r w:rsidDel="00000000" w:rsidR="00000000" w:rsidRPr="00000000">
        <w:rPr>
          <w:rtl w:val="0"/>
        </w:rPr>
        <w:t xml:space="preserve">More Than A Theory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fycesyvrplpz" w:id="5"/>
      <w:bookmarkEnd w:id="5"/>
      <w:r w:rsidDel="00000000" w:rsidR="00000000" w:rsidRPr="00000000">
        <w:rPr>
          <w:rtl w:val="0"/>
        </w:rPr>
        <w:tab/>
        <w:t xml:space="preserve">9.3.2 Functionalist Theory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How has the Violence Against Women Act contributed to the overall stability of American society? How could it have been detrimental to society? 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ou46zwzajdng" w:id="6"/>
      <w:bookmarkEnd w:id="6"/>
      <w:r w:rsidDel="00000000" w:rsidR="00000000" w:rsidRPr="00000000">
        <w:rPr>
          <w:rtl w:val="0"/>
        </w:rPr>
        <w:tab/>
        <w:t xml:space="preserve">9.3.3 Conflict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Do current policies on violence against women only favor the dominant group? What policies should be developed to support the needs and concerns of both women and men in society? 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yivzzx4mj70z" w:id="7"/>
      <w:bookmarkEnd w:id="7"/>
      <w:r w:rsidDel="00000000" w:rsidR="00000000" w:rsidRPr="00000000">
        <w:rPr>
          <w:rtl w:val="0"/>
        </w:rPr>
        <w:tab/>
        <w:t xml:space="preserve">9.3.4 Symbolic Interactionist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Can policies around the issue of violence and abuse be developed to help improve relationships between men and women in society?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pfi14669kfke" w:id="8"/>
      <w:bookmarkEnd w:id="8"/>
      <w:r w:rsidDel="00000000" w:rsidR="00000000" w:rsidRPr="00000000">
        <w:rPr>
          <w:rtl w:val="0"/>
        </w:rPr>
        <w:t xml:space="preserve">9.4.1 Sexual Identity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What social difficulties might an individual face after undergoing sex reassignment surgery? What about an intersex individual? 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5rmynve0cmqe" w:id="9"/>
      <w:bookmarkEnd w:id="9"/>
      <w:r w:rsidDel="00000000" w:rsidR="00000000" w:rsidRPr="00000000">
        <w:rPr>
          <w:rtl w:val="0"/>
        </w:rPr>
        <w:t xml:space="preserve">9.5.1 Delivery Room Ruling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What is your opinion of the 2014 delivery room ruling? Should the father's wishes equal the mother's in the delivery room?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Style w:val="Heading2"/>
      <w:rPr/>
    </w:pPr>
    <w:bookmarkStart w:colFirst="0" w:colLast="0" w:name="_6cpwdhc43nfx" w:id="10"/>
    <w:bookmarkEnd w:id="10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Helvetica Neue" w:cs="Helvetica Neue" w:eastAsia="Helvetica Neue" w:hAnsi="Helvetica Neue"/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